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E0FDB" w14:textId="22D6F3BE" w:rsidR="00EB2BF0" w:rsidRPr="00446F9D" w:rsidRDefault="00EB2BF0" w:rsidP="00EB2BF0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86bis</w:t>
      </w:r>
      <w:r w:rsidRPr="00446F9D">
        <w:tab/>
        <w:t>R1-</w:t>
      </w:r>
      <w:r w:rsidR="000D7A3C" w:rsidRPr="000D7A3C">
        <w:t>160963</w:t>
      </w:r>
      <w:r w:rsidR="000D7A3C">
        <w:t>5</w:t>
      </w:r>
      <w:bookmarkStart w:id="0" w:name="_GoBack"/>
      <w:bookmarkEnd w:id="0"/>
    </w:p>
    <w:p w14:paraId="3C43249E" w14:textId="77777777" w:rsidR="00EB2BF0" w:rsidRPr="000833FA" w:rsidRDefault="00EB2BF0" w:rsidP="00EB2BF0">
      <w:pPr>
        <w:pStyle w:val="Header"/>
        <w:rPr>
          <w:color w:val="000000"/>
        </w:rPr>
      </w:pPr>
      <w:r>
        <w:t>Lisbon, Portugal, October 10 – 14, 2016</w:t>
      </w:r>
    </w:p>
    <w:p w14:paraId="65CC3E84" w14:textId="77777777" w:rsidR="00A85E54" w:rsidRPr="000833FA" w:rsidRDefault="00A85E54" w:rsidP="00A85E54">
      <w:pPr>
        <w:pStyle w:val="Header"/>
      </w:pPr>
    </w:p>
    <w:p w14:paraId="6787446A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B587704" w14:textId="3ADA3CD4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>
        <w:t xml:space="preserve">On </w:t>
      </w:r>
      <w:r w:rsidR="00E353CF">
        <w:t>symbol</w:t>
      </w:r>
      <w:r w:rsidR="00225474">
        <w:t xml:space="preserve"> </w:t>
      </w:r>
      <w:r w:rsidR="00673176">
        <w:t>alignment</w:t>
      </w:r>
    </w:p>
    <w:p w14:paraId="1BDAAC7F" w14:textId="585979D2" w:rsidR="00FE5799" w:rsidRPr="0003368D" w:rsidRDefault="00FE5799" w:rsidP="00FE5799">
      <w:pPr>
        <w:pStyle w:val="Header"/>
        <w:tabs>
          <w:tab w:val="left" w:pos="1800"/>
        </w:tabs>
      </w:pPr>
      <w:r w:rsidRPr="00ED6711">
        <w:t>Agenda Item:</w:t>
      </w:r>
      <w:bookmarkStart w:id="2" w:name="Source"/>
      <w:bookmarkEnd w:id="2"/>
      <w:r w:rsidRPr="00ED6711">
        <w:tab/>
      </w:r>
      <w:r w:rsidR="00940F1D" w:rsidRPr="00ED6711">
        <w:t>8</w:t>
      </w:r>
      <w:r w:rsidR="005D033C">
        <w:t>.1.2.1</w:t>
      </w:r>
    </w:p>
    <w:p w14:paraId="2F18480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18FD762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1646B634" w14:textId="77777777" w:rsidR="00F8152C" w:rsidRDefault="00F8152C" w:rsidP="00F8152C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Introduction</w:t>
      </w:r>
    </w:p>
    <w:p w14:paraId="58CFF9DD" w14:textId="7844FC76" w:rsidR="00225474" w:rsidRDefault="00673176" w:rsidP="00225474">
      <w:pPr>
        <w:pStyle w:val="BodyText"/>
      </w:pPr>
      <w:r>
        <w:t xml:space="preserve">At RAN1#86, it was agreed to employ symbol alignment across different numerologies within the same CP family (normal CP or extended CP). There is also a common understanding that, for 15 kHz subcarrier spacing, i.e.  </w:t>
      </w:r>
      <w:r>
        <w:rPr>
          <w:i/>
        </w:rPr>
        <w:t>n</w:t>
      </w:r>
      <w:r>
        <w:t xml:space="preserve">=0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</m:sSub>
        <m:r>
          <w:rPr>
            <w:rFonts w:ascii="Cambria Math" w:hAnsi="Cambria Math"/>
          </w:rPr>
          <m:t>=15 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kHz</m:t>
        </m:r>
      </m:oMath>
      <w:r>
        <w:t xml:space="preserve">, the symbol boundaries are aligned with those in LTE, see </w:t>
      </w:r>
      <w:r w:rsidR="00225474">
        <w:fldChar w:fldCharType="begin"/>
      </w:r>
      <w:r w:rsidR="00225474">
        <w:instrText xml:space="preserve"> REF _Ref457848887 \h </w:instrText>
      </w:r>
      <w:r w:rsidR="00225474">
        <w:fldChar w:fldCharType="separate"/>
      </w:r>
      <w:r w:rsidR="00225474">
        <w:t xml:space="preserve">Figure </w:t>
      </w:r>
      <w:r w:rsidR="00225474">
        <w:rPr>
          <w:noProof/>
        </w:rPr>
        <w:t>1</w:t>
      </w:r>
      <w:r w:rsidR="00225474">
        <w:fldChar w:fldCharType="end"/>
      </w:r>
      <w:r w:rsidR="00464DB6">
        <w:t>.</w:t>
      </w:r>
      <w:r>
        <w:t xml:space="preserve"> A natural question is how to distribute the additional samples from the first somewhat longer symbol in </w:t>
      </w:r>
      <w:r>
        <w:fldChar w:fldCharType="begin"/>
      </w:r>
      <w:r>
        <w:instrText xml:space="preserve"> REF _Ref457848887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 </w:t>
      </w:r>
      <w:r w:rsidR="00464DB6">
        <w:t xml:space="preserve"> </w:t>
      </w:r>
      <w:r w:rsidR="00464DB6">
        <w:tab/>
      </w:r>
    </w:p>
    <w:p w14:paraId="3DB1687B" w14:textId="77777777" w:rsidR="00225474" w:rsidRDefault="00225474" w:rsidP="00225474">
      <w:pPr>
        <w:pStyle w:val="BodyText"/>
        <w:keepNext/>
      </w:pPr>
      <w:r w:rsidRPr="00225474">
        <w:rPr>
          <w:noProof/>
        </w:rPr>
        <w:drawing>
          <wp:inline distT="0" distB="0" distL="0" distR="0" wp14:anchorId="70C32D2C" wp14:editId="0AA8F6CF">
            <wp:extent cx="4286250" cy="1012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833" cy="101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1FE50" w14:textId="1D7D6822" w:rsidR="00225474" w:rsidRPr="00AE3947" w:rsidRDefault="00225474" w:rsidP="00225474">
      <w:pPr>
        <w:pStyle w:val="Caption"/>
        <w:jc w:val="both"/>
      </w:pPr>
      <w:bookmarkStart w:id="4" w:name="_Ref4578488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820E8">
        <w:rPr>
          <w:noProof/>
        </w:rPr>
        <w:t>1</w:t>
      </w:r>
      <w:r>
        <w:fldChar w:fldCharType="end"/>
      </w:r>
      <w:bookmarkEnd w:id="4"/>
      <w:r>
        <w:t>: Cyclic prefix lengths at 15 KHz subcarrier spacing.</w:t>
      </w:r>
    </w:p>
    <w:p w14:paraId="198635C8" w14:textId="0996256B" w:rsidR="006210D6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Discussion</w:t>
      </w:r>
    </w:p>
    <w:p w14:paraId="602638BC" w14:textId="01A145DF" w:rsidR="00D8603D" w:rsidRDefault="00D8603D" w:rsidP="00D8603D">
      <w:pPr>
        <w:pStyle w:val="BodyText"/>
      </w:pPr>
      <w:r>
        <w:t>The extra samples in the first symbol can be handled in multiple ways, for example</w:t>
      </w:r>
    </w:p>
    <w:p w14:paraId="6BA406DF" w14:textId="179B0F89" w:rsidR="00D8603D" w:rsidRDefault="00D8603D" w:rsidP="00D8603D">
      <w:pPr>
        <w:pStyle w:val="BodyText"/>
        <w:numPr>
          <w:ilvl w:val="0"/>
          <w:numId w:val="22"/>
        </w:numPr>
      </w:pPr>
      <w:r>
        <w:t xml:space="preserve">The extra samples are absorbed by the cyclic prefix in the first OFDM symbol in the next higher numerology, see </w:t>
      </w:r>
      <w:r w:rsidR="00756125">
        <w:t xml:space="preserve">the right part of </w:t>
      </w:r>
      <w:r w:rsidR="00756125">
        <w:fldChar w:fldCharType="begin"/>
      </w:r>
      <w:r w:rsidR="00756125">
        <w:instrText xml:space="preserve"> REF _Ref462069778 \h </w:instrText>
      </w:r>
      <w:r w:rsidR="00756125">
        <w:fldChar w:fldCharType="separate"/>
      </w:r>
      <w:r w:rsidR="00756125">
        <w:t xml:space="preserve">Figure </w:t>
      </w:r>
      <w:r w:rsidR="00756125">
        <w:rPr>
          <w:noProof/>
        </w:rPr>
        <w:t>2</w:t>
      </w:r>
      <w:r w:rsidR="00756125">
        <w:fldChar w:fldCharType="end"/>
      </w:r>
      <w:r w:rsidR="00756125">
        <w:t>.</w:t>
      </w:r>
    </w:p>
    <w:p w14:paraId="54F5F0B5" w14:textId="79895860" w:rsidR="00D8603D" w:rsidRDefault="00D8603D" w:rsidP="00D8603D">
      <w:pPr>
        <w:pStyle w:val="BodyText"/>
        <w:numPr>
          <w:ilvl w:val="0"/>
          <w:numId w:val="22"/>
        </w:numPr>
      </w:pPr>
      <w:r>
        <w:t xml:space="preserve">The extra samples are distributed equally among the cyclic prefixes of the first </w:t>
      </w:r>
      <w:r>
        <w:rPr>
          <w:i/>
        </w:rPr>
        <w:t>M</w:t>
      </w:r>
      <w:r>
        <w:t xml:space="preserve"> OFDM symbols, </w:t>
      </w:r>
      <w:r w:rsidR="00756125">
        <w:t xml:space="preserve">see the left part of </w:t>
      </w:r>
      <w:r w:rsidR="00756125">
        <w:fldChar w:fldCharType="begin"/>
      </w:r>
      <w:r w:rsidR="00756125">
        <w:instrText xml:space="preserve"> REF _Ref462069778 \h </w:instrText>
      </w:r>
      <w:r w:rsidR="00756125">
        <w:fldChar w:fldCharType="separate"/>
      </w:r>
      <w:r w:rsidR="00756125">
        <w:t xml:space="preserve">Figure </w:t>
      </w:r>
      <w:r w:rsidR="00756125">
        <w:rPr>
          <w:noProof/>
        </w:rPr>
        <w:t>2</w:t>
      </w:r>
      <w:r w:rsidR="00756125">
        <w:fldChar w:fldCharType="end"/>
      </w:r>
      <w:r w:rsidR="00756125">
        <w:t>.</w:t>
      </w:r>
    </w:p>
    <w:p w14:paraId="13FE85D3" w14:textId="2E5DA7D9" w:rsidR="00D8603D" w:rsidRDefault="00D8603D" w:rsidP="00D8603D">
      <w:pPr>
        <w:pStyle w:val="BodyText"/>
        <w:numPr>
          <w:ilvl w:val="0"/>
          <w:numId w:val="22"/>
        </w:numPr>
      </w:pPr>
      <w:r>
        <w:t>The extra samples are not seen as part of an OFDM symbol but</w:t>
      </w:r>
      <w:r w:rsidR="002D41B4">
        <w:t xml:space="preserve"> as guard samples. Compared to the first </w:t>
      </w:r>
      <w:r w:rsidR="00756125">
        <w:t>alternative</w:t>
      </w:r>
      <w:r w:rsidR="002D41B4">
        <w:t xml:space="preserve">, the main difference in that the </w:t>
      </w:r>
      <w:r w:rsidR="00756125">
        <w:t>value</w:t>
      </w:r>
      <w:r w:rsidR="002D41B4">
        <w:t xml:space="preserve"> of the first samples are left undefined instead of being defined as a cyclic prefix.</w:t>
      </w:r>
    </w:p>
    <w:p w14:paraId="1AC6145E" w14:textId="63FBBF37" w:rsidR="002D41B4" w:rsidRDefault="002D41B4" w:rsidP="002D41B4">
      <w:pPr>
        <w:pStyle w:val="BodyText"/>
      </w:pPr>
      <w:r>
        <w:t>Among the options above it is proposed to absorb the extra samples in the first OFDM symbol only, resulting in a slightly more regular structure than the second alternative.</w:t>
      </w:r>
    </w:p>
    <w:p w14:paraId="4BE38AEE" w14:textId="5FC84243" w:rsidR="002D41B4" w:rsidRDefault="002D41B4" w:rsidP="002D41B4">
      <w:pPr>
        <w:pStyle w:val="BodyText"/>
      </w:pPr>
      <w:r>
        <w:t xml:space="preserve">From a specification perspective, symbol alignment can be described as defining the symbol boundaries for the highest subcarrier spacing supported in terms of a sampling period (which can be shorter than the </w:t>
      </w:r>
      <w:proofErr w:type="spellStart"/>
      <w:r>
        <w:t>Ts</w:t>
      </w:r>
      <w:proofErr w:type="spellEnd"/>
      <w:r>
        <w:t xml:space="preserve"> used in 36.211 to avoid “half samples” for very large subcarrier </w:t>
      </w:r>
      <w:proofErr w:type="spellStart"/>
      <w:r>
        <w:t>spacings</w:t>
      </w:r>
      <w:proofErr w:type="spellEnd"/>
      <w:r>
        <w:t xml:space="preserve">). Note that the </w:t>
      </w:r>
      <w:proofErr w:type="spellStart"/>
      <w:r>
        <w:t>Ts</w:t>
      </w:r>
      <w:proofErr w:type="spellEnd"/>
      <w:r>
        <w:t xml:space="preserve"> in 36.211 is purely a tool for specifying various time relations and does not restrict the sampling frequency used in an actual implementation. </w:t>
      </w:r>
    </w:p>
    <w:p w14:paraId="20A2F230" w14:textId="6CAB51D9" w:rsidR="009820E8" w:rsidRDefault="009820E8" w:rsidP="002D41B4">
      <w:pPr>
        <w:pStyle w:val="BodyText"/>
      </w:pPr>
      <w:r>
        <w:t xml:space="preserve">Although the first release of NR may not support subcarrier </w:t>
      </w:r>
      <w:proofErr w:type="spellStart"/>
      <w:r>
        <w:t>spacings</w:t>
      </w:r>
      <w:proofErr w:type="spellEnd"/>
      <w:r>
        <w:t xml:space="preserve"> less than 15 kHz it is important to have a structure that allows extensions to subcarrier </w:t>
      </w:r>
      <w:proofErr w:type="spellStart"/>
      <w:r>
        <w:t>spacings</w:t>
      </w:r>
      <w:proofErr w:type="spellEnd"/>
      <w:r>
        <w:t xml:space="preserve"> less than 15 kHz in the future should need </w:t>
      </w:r>
      <w:proofErr w:type="gramStart"/>
      <w:r>
        <w:t>arise</w:t>
      </w:r>
      <w:proofErr w:type="gramEnd"/>
      <w:r>
        <w:t>.</w:t>
      </w:r>
      <w:r w:rsidR="000D7A3C">
        <w:t xml:space="preserve"> Such extension is included in the figures below.</w:t>
      </w:r>
    </w:p>
    <w:p w14:paraId="582D0267" w14:textId="77777777" w:rsidR="00756125" w:rsidRDefault="00756125" w:rsidP="002D41B4">
      <w:pPr>
        <w:pStyle w:val="BodyText"/>
      </w:pPr>
    </w:p>
    <w:p w14:paraId="497BD146" w14:textId="02746829" w:rsidR="00756125" w:rsidRDefault="00756125" w:rsidP="00756125">
      <w:pPr>
        <w:pStyle w:val="BodyText"/>
        <w:keepNext/>
      </w:pPr>
      <w:r w:rsidRPr="00756125">
        <w:rPr>
          <w:noProof/>
        </w:rPr>
        <w:lastRenderedPageBreak/>
        <w:drawing>
          <wp:inline distT="0" distB="0" distL="0" distR="0" wp14:anchorId="18C9145A" wp14:editId="69B0700F">
            <wp:extent cx="5760720" cy="1724270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2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B6D88" w14:textId="26590376" w:rsidR="002D41B4" w:rsidRDefault="00756125" w:rsidP="00756125">
      <w:pPr>
        <w:pStyle w:val="Caption"/>
        <w:jc w:val="both"/>
      </w:pPr>
      <w:bookmarkStart w:id="5" w:name="_Ref4620697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820E8">
        <w:rPr>
          <w:noProof/>
        </w:rPr>
        <w:t>2</w:t>
      </w:r>
      <w:r>
        <w:fldChar w:fldCharType="end"/>
      </w:r>
      <w:bookmarkEnd w:id="5"/>
      <w:r>
        <w:t>: Distributing the extra samples</w:t>
      </w:r>
      <w:r w:rsidR="00153EB9">
        <w:t xml:space="preserve"> in multiple symbols (left, not proposed) and </w:t>
      </w:r>
      <w:r>
        <w:t>absorbing all extra samples in the first symbol (right</w:t>
      </w:r>
      <w:r w:rsidR="00153EB9">
        <w:t>, the proposal in this paper</w:t>
      </w:r>
      <w:r>
        <w:t xml:space="preserve">) when scaling to subcarrier </w:t>
      </w:r>
      <w:proofErr w:type="spellStart"/>
      <w:r>
        <w:t>spacings</w:t>
      </w:r>
      <w:proofErr w:type="spellEnd"/>
      <w:r>
        <w:t xml:space="preserve"> </w:t>
      </w:r>
      <w:r w:rsidR="00153EB9">
        <w:t>larger</w:t>
      </w:r>
      <w:r>
        <w:t xml:space="preserve"> than 15 kHz.</w:t>
      </w:r>
    </w:p>
    <w:p w14:paraId="239A6525" w14:textId="77777777" w:rsidR="009820E8" w:rsidRDefault="009820E8" w:rsidP="009820E8">
      <w:pPr>
        <w:pStyle w:val="BodyText"/>
        <w:keepNext/>
      </w:pPr>
      <w:r w:rsidRPr="009820E8">
        <w:rPr>
          <w:noProof/>
        </w:rPr>
        <w:drawing>
          <wp:inline distT="0" distB="0" distL="0" distR="0" wp14:anchorId="56A115E8" wp14:editId="41E45B5F">
            <wp:extent cx="9232863" cy="608916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459" cy="63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1A412" w14:textId="01060A5D" w:rsidR="007E12D9" w:rsidRDefault="009820E8" w:rsidP="009820E8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:Lengths of OFDM symbols expressed in </w:t>
      </w:r>
      <w:proofErr w:type="spellStart"/>
      <w:r>
        <w:t>Ts</w:t>
      </w:r>
      <w:proofErr w:type="spellEnd"/>
      <w:r>
        <w:t xml:space="preserve"> (as specified in 36.211) for symbol alignments with all extra samples in a single symbol when scaling to subcarrier </w:t>
      </w:r>
      <w:proofErr w:type="spellStart"/>
      <w:r>
        <w:t>spacings</w:t>
      </w:r>
      <w:proofErr w:type="spellEnd"/>
      <w:r>
        <w:t xml:space="preserve"> larger than 15 kHz</w:t>
      </w:r>
    </w:p>
    <w:p w14:paraId="20FDC74F" w14:textId="77777777" w:rsidR="00793153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Conclusion</w:t>
      </w:r>
    </w:p>
    <w:p w14:paraId="1A969191" w14:textId="5B741780" w:rsidR="00756125" w:rsidRDefault="00756125" w:rsidP="00ED6711">
      <w:pPr>
        <w:pStyle w:val="BodyText"/>
      </w:pPr>
      <w:r>
        <w:t xml:space="preserve">Proposal: symbol alignment is achieved by allocating all extra samples to the first OFDM symbol when scaling to subcarrier </w:t>
      </w:r>
      <w:proofErr w:type="spellStart"/>
      <w:r>
        <w:t>spacings</w:t>
      </w:r>
      <w:proofErr w:type="spellEnd"/>
      <w:r>
        <w:t xml:space="preserve"> larger than 15 kHz as shown in the right part of </w:t>
      </w:r>
      <w:r>
        <w:fldChar w:fldCharType="begin"/>
      </w:r>
      <w:r>
        <w:instrText xml:space="preserve"> REF _Ref462069778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.</w:t>
      </w:r>
    </w:p>
    <w:p w14:paraId="5F809A08" w14:textId="20089DBE" w:rsidR="00756125" w:rsidRDefault="00756125" w:rsidP="00ED6711">
      <w:pPr>
        <w:pStyle w:val="BodyText"/>
      </w:pPr>
    </w:p>
    <w:p w14:paraId="05983E1F" w14:textId="77777777" w:rsidR="009820E8" w:rsidRDefault="009820E8" w:rsidP="00ED6711">
      <w:pPr>
        <w:pStyle w:val="BodyText"/>
      </w:pPr>
    </w:p>
    <w:sectPr w:rsidR="009820E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D05D4" w14:textId="77777777" w:rsidR="00495813" w:rsidRDefault="00495813">
      <w:r>
        <w:separator/>
      </w:r>
    </w:p>
  </w:endnote>
  <w:endnote w:type="continuationSeparator" w:id="0">
    <w:p w14:paraId="154D7F07" w14:textId="77777777" w:rsidR="00495813" w:rsidRDefault="0049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AC05F" w14:textId="77777777" w:rsidR="00495813" w:rsidRDefault="00495813">
      <w:r>
        <w:separator/>
      </w:r>
    </w:p>
  </w:footnote>
  <w:footnote w:type="continuationSeparator" w:id="0">
    <w:p w14:paraId="1C1F2E83" w14:textId="77777777" w:rsidR="00495813" w:rsidRDefault="0049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98852" w14:textId="77777777" w:rsidR="007E12D9" w:rsidRDefault="007E12D9" w:rsidP="007E12D9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602C"/>
    <w:multiLevelType w:val="hybridMultilevel"/>
    <w:tmpl w:val="8F4243C2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873B9"/>
    <w:multiLevelType w:val="hybridMultilevel"/>
    <w:tmpl w:val="9C64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1412"/>
    <w:multiLevelType w:val="hybridMultilevel"/>
    <w:tmpl w:val="4822D382"/>
    <w:lvl w:ilvl="0" w:tplc="A02E94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0BEE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8830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EF2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0B7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0F4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2E7F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A26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29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2C2378"/>
    <w:multiLevelType w:val="hybridMultilevel"/>
    <w:tmpl w:val="BDC0E2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438F5"/>
    <w:multiLevelType w:val="hybridMultilevel"/>
    <w:tmpl w:val="8E7476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0F0514"/>
    <w:multiLevelType w:val="hybridMultilevel"/>
    <w:tmpl w:val="9D487942"/>
    <w:lvl w:ilvl="0" w:tplc="FDE6E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062FD"/>
    <w:multiLevelType w:val="hybridMultilevel"/>
    <w:tmpl w:val="8AFEA4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D56"/>
    <w:multiLevelType w:val="hybridMultilevel"/>
    <w:tmpl w:val="09904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37844"/>
    <w:multiLevelType w:val="hybridMultilevel"/>
    <w:tmpl w:val="48C2CD6A"/>
    <w:lvl w:ilvl="0" w:tplc="10D291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49A74">
      <w:start w:val="46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75C8B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01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5A31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1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C18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08D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CEC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907D3F"/>
    <w:multiLevelType w:val="hybridMultilevel"/>
    <w:tmpl w:val="5E80C7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07192"/>
    <w:multiLevelType w:val="hybridMultilevel"/>
    <w:tmpl w:val="664CE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1234E"/>
    <w:multiLevelType w:val="hybridMultilevel"/>
    <w:tmpl w:val="4A0C18B8"/>
    <w:lvl w:ilvl="0" w:tplc="D07A6F8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0ABA0">
      <w:start w:val="2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BC28E4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E42B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61AE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2C2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23D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C5A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AF8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A1689F"/>
    <w:multiLevelType w:val="hybridMultilevel"/>
    <w:tmpl w:val="C570DA8E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4"/>
  </w:num>
  <w:num w:numId="7">
    <w:abstractNumId w:val="18"/>
  </w:num>
  <w:num w:numId="8">
    <w:abstractNumId w:val="19"/>
  </w:num>
  <w:num w:numId="9">
    <w:abstractNumId w:val="15"/>
  </w:num>
  <w:num w:numId="10">
    <w:abstractNumId w:val="14"/>
  </w:num>
  <w:num w:numId="11">
    <w:abstractNumId w:val="9"/>
  </w:num>
  <w:num w:numId="12">
    <w:abstractNumId w:val="0"/>
  </w:num>
  <w:num w:numId="13">
    <w:abstractNumId w:val="19"/>
  </w:num>
  <w:num w:numId="14">
    <w:abstractNumId w:val="16"/>
  </w:num>
  <w:num w:numId="15">
    <w:abstractNumId w:val="17"/>
  </w:num>
  <w:num w:numId="16">
    <w:abstractNumId w:val="13"/>
  </w:num>
  <w:num w:numId="17">
    <w:abstractNumId w:val="2"/>
  </w:num>
  <w:num w:numId="18">
    <w:abstractNumId w:val="11"/>
  </w:num>
  <w:num w:numId="19">
    <w:abstractNumId w:val="3"/>
  </w:num>
  <w:num w:numId="20">
    <w:abstractNumId w:val="12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4BD1"/>
    <w:rsid w:val="00037C51"/>
    <w:rsid w:val="00084C23"/>
    <w:rsid w:val="00095971"/>
    <w:rsid w:val="000A258F"/>
    <w:rsid w:val="000B4762"/>
    <w:rsid w:val="000D7A3C"/>
    <w:rsid w:val="000F4AF3"/>
    <w:rsid w:val="00112E18"/>
    <w:rsid w:val="00114B6A"/>
    <w:rsid w:val="00141448"/>
    <w:rsid w:val="00153EB9"/>
    <w:rsid w:val="00175D32"/>
    <w:rsid w:val="0017779E"/>
    <w:rsid w:val="00195FDC"/>
    <w:rsid w:val="001A4D85"/>
    <w:rsid w:val="001B4EFD"/>
    <w:rsid w:val="0021013F"/>
    <w:rsid w:val="00225474"/>
    <w:rsid w:val="0023104B"/>
    <w:rsid w:val="002370AC"/>
    <w:rsid w:val="00244EB4"/>
    <w:rsid w:val="0024523F"/>
    <w:rsid w:val="00256930"/>
    <w:rsid w:val="00264E3E"/>
    <w:rsid w:val="00290099"/>
    <w:rsid w:val="002A10FE"/>
    <w:rsid w:val="002D41B4"/>
    <w:rsid w:val="002F4EDA"/>
    <w:rsid w:val="002F6C15"/>
    <w:rsid w:val="00370FC8"/>
    <w:rsid w:val="00377B9E"/>
    <w:rsid w:val="003875A3"/>
    <w:rsid w:val="003D24B3"/>
    <w:rsid w:val="00422F7B"/>
    <w:rsid w:val="00463305"/>
    <w:rsid w:val="00464DB6"/>
    <w:rsid w:val="00476B99"/>
    <w:rsid w:val="00490C6E"/>
    <w:rsid w:val="00495813"/>
    <w:rsid w:val="004B57FD"/>
    <w:rsid w:val="004C6604"/>
    <w:rsid w:val="004F3A03"/>
    <w:rsid w:val="00505D01"/>
    <w:rsid w:val="005366D4"/>
    <w:rsid w:val="00536735"/>
    <w:rsid w:val="0054011B"/>
    <w:rsid w:val="0055264E"/>
    <w:rsid w:val="0058278C"/>
    <w:rsid w:val="005C439D"/>
    <w:rsid w:val="005D033C"/>
    <w:rsid w:val="005D5C73"/>
    <w:rsid w:val="0061336B"/>
    <w:rsid w:val="006210D6"/>
    <w:rsid w:val="00660C2C"/>
    <w:rsid w:val="00673176"/>
    <w:rsid w:val="006A286A"/>
    <w:rsid w:val="007305FC"/>
    <w:rsid w:val="0075384C"/>
    <w:rsid w:val="00756125"/>
    <w:rsid w:val="00766F3B"/>
    <w:rsid w:val="00793153"/>
    <w:rsid w:val="007A01C0"/>
    <w:rsid w:val="007A7B94"/>
    <w:rsid w:val="007C5A90"/>
    <w:rsid w:val="007E12D9"/>
    <w:rsid w:val="007F6BE4"/>
    <w:rsid w:val="007F7EC8"/>
    <w:rsid w:val="0080582B"/>
    <w:rsid w:val="00834DE7"/>
    <w:rsid w:val="00835FF4"/>
    <w:rsid w:val="00887542"/>
    <w:rsid w:val="008B23D4"/>
    <w:rsid w:val="008D3EA9"/>
    <w:rsid w:val="00900918"/>
    <w:rsid w:val="00905998"/>
    <w:rsid w:val="00940F1D"/>
    <w:rsid w:val="009520B5"/>
    <w:rsid w:val="00975C20"/>
    <w:rsid w:val="009820E8"/>
    <w:rsid w:val="009A6BB8"/>
    <w:rsid w:val="009B2E48"/>
    <w:rsid w:val="009B46C0"/>
    <w:rsid w:val="009E259F"/>
    <w:rsid w:val="00A200B1"/>
    <w:rsid w:val="00A47015"/>
    <w:rsid w:val="00A81AA1"/>
    <w:rsid w:val="00A85E54"/>
    <w:rsid w:val="00A97F1F"/>
    <w:rsid w:val="00AA13EF"/>
    <w:rsid w:val="00B1634E"/>
    <w:rsid w:val="00B205BF"/>
    <w:rsid w:val="00B30E35"/>
    <w:rsid w:val="00B368D9"/>
    <w:rsid w:val="00B96B6C"/>
    <w:rsid w:val="00BA202E"/>
    <w:rsid w:val="00BA2CDD"/>
    <w:rsid w:val="00BA76BC"/>
    <w:rsid w:val="00C11DBF"/>
    <w:rsid w:val="00C1560A"/>
    <w:rsid w:val="00C326A6"/>
    <w:rsid w:val="00C61496"/>
    <w:rsid w:val="00C75368"/>
    <w:rsid w:val="00C93774"/>
    <w:rsid w:val="00CA6DE0"/>
    <w:rsid w:val="00CE28B2"/>
    <w:rsid w:val="00CF2225"/>
    <w:rsid w:val="00CF67BE"/>
    <w:rsid w:val="00D02349"/>
    <w:rsid w:val="00D03119"/>
    <w:rsid w:val="00D04257"/>
    <w:rsid w:val="00D26287"/>
    <w:rsid w:val="00D8603D"/>
    <w:rsid w:val="00DA110D"/>
    <w:rsid w:val="00DA289B"/>
    <w:rsid w:val="00DB4258"/>
    <w:rsid w:val="00DE3421"/>
    <w:rsid w:val="00DF5C63"/>
    <w:rsid w:val="00E353CF"/>
    <w:rsid w:val="00E63D88"/>
    <w:rsid w:val="00E77A2E"/>
    <w:rsid w:val="00EB2BF0"/>
    <w:rsid w:val="00EC6CA5"/>
    <w:rsid w:val="00ED6711"/>
    <w:rsid w:val="00EE063C"/>
    <w:rsid w:val="00F02836"/>
    <w:rsid w:val="00F31493"/>
    <w:rsid w:val="00F37D49"/>
    <w:rsid w:val="00F434AA"/>
    <w:rsid w:val="00F621B3"/>
    <w:rsid w:val="00F8152C"/>
    <w:rsid w:val="00F92636"/>
    <w:rsid w:val="00FB4E7B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06CE7F"/>
  <w15:docId w15:val="{BB43DC80-67E5-44C1-A423-75175678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  <w:style w:type="table" w:styleId="TableGrid">
    <w:name w:val="Table Grid"/>
    <w:basedOn w:val="TableNormal"/>
    <w:uiPriority w:val="59"/>
    <w:rsid w:val="00660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8770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40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9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9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54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21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016A6-EC37-44E0-B126-98259B1A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Stefan Parkvall</cp:lastModifiedBy>
  <cp:revision>2</cp:revision>
  <dcterms:created xsi:type="dcterms:W3CDTF">2016-09-29T12:21:00Z</dcterms:created>
  <dcterms:modified xsi:type="dcterms:W3CDTF">2016-09-29T12:21:00Z</dcterms:modified>
</cp:coreProperties>
</file>